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244" w:rsidRDefault="00EA2244" w:rsidP="00EA2244">
      <w:pPr>
        <w:pStyle w:val="Standard"/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212529"/>
          <w:sz w:val="32"/>
          <w:szCs w:val="32"/>
        </w:rPr>
      </w:pPr>
      <w:r>
        <w:rPr>
          <w:rFonts w:eastAsia="Times New Roman" w:cs="Times New Roman"/>
          <w:b/>
          <w:bCs/>
          <w:color w:val="212529"/>
          <w:sz w:val="32"/>
          <w:szCs w:val="32"/>
        </w:rPr>
        <w:t>Аналитическая справка к Мониторингу</w:t>
      </w:r>
    </w:p>
    <w:p w:rsidR="00EA2244" w:rsidRDefault="00EA2244" w:rsidP="00EA2244">
      <w:pPr>
        <w:pStyle w:val="Standard"/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212529"/>
          <w:sz w:val="32"/>
          <w:szCs w:val="32"/>
        </w:rPr>
      </w:pPr>
      <w:r>
        <w:rPr>
          <w:rFonts w:eastAsia="Times New Roman" w:cs="Times New Roman"/>
          <w:b/>
          <w:bCs/>
          <w:color w:val="212529"/>
          <w:sz w:val="32"/>
          <w:szCs w:val="32"/>
        </w:rPr>
        <w:t>по результатам освоения дошкольниками основной образовательной программы по художественно-эстетическому развитию (раздел «Музыка») за 2020-2024 учебный год.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jc w:val="center"/>
        <w:rPr>
          <w:rFonts w:eastAsia="Times New Roman" w:cs="Times New Roman"/>
          <w:b/>
          <w:bCs/>
          <w:color w:val="212529"/>
          <w:sz w:val="32"/>
          <w:szCs w:val="32"/>
        </w:rPr>
      </w:pP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jc w:val="center"/>
        <w:rPr>
          <w:rFonts w:eastAsia="Times New Roman" w:cs="Times New Roman"/>
          <w:b/>
          <w:bCs/>
          <w:color w:val="212529"/>
          <w:sz w:val="32"/>
          <w:szCs w:val="32"/>
        </w:rPr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1134"/>
        <w:gridCol w:w="1134"/>
        <w:gridCol w:w="850"/>
        <w:gridCol w:w="1134"/>
        <w:gridCol w:w="1134"/>
        <w:gridCol w:w="851"/>
        <w:gridCol w:w="1276"/>
        <w:gridCol w:w="815"/>
      </w:tblGrid>
      <w:tr w:rsidR="00EA2244" w:rsidTr="00136A55">
        <w:tblPrEx>
          <w:tblCellMar>
            <w:top w:w="0" w:type="dxa"/>
            <w:bottom w:w="0" w:type="dxa"/>
          </w:tblCellMar>
        </w:tblPrEx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</w:tr>
      <w:tr w:rsidR="00EA2244" w:rsidTr="00136A55">
        <w:tblPrEx>
          <w:tblCellMar>
            <w:top w:w="0" w:type="dxa"/>
            <w:bottom w:w="0" w:type="dxa"/>
          </w:tblCellMar>
        </w:tblPrEx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нг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</w:tr>
      <w:tr w:rsidR="00EA2244" w:rsidTr="00136A55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98%</w:t>
            </w:r>
          </w:p>
        </w:tc>
      </w:tr>
      <w:tr w:rsidR="00EA2244" w:rsidTr="00136A55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89%</w:t>
            </w:r>
          </w:p>
        </w:tc>
      </w:tr>
      <w:tr w:rsidR="00EA2244" w:rsidTr="00136A55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</w:tr>
      <w:tr w:rsidR="00EA2244" w:rsidTr="00136A55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244" w:rsidRDefault="00EA2244" w:rsidP="00136A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89%</w:t>
            </w:r>
          </w:p>
        </w:tc>
      </w:tr>
    </w:tbl>
    <w:p w:rsidR="00EA2244" w:rsidRDefault="00EA2244" w:rsidP="00EA2244">
      <w:pPr>
        <w:pStyle w:val="Standard"/>
      </w:pP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jc w:val="center"/>
        <w:rPr>
          <w:rFonts w:eastAsia="Times New Roman" w:cs="Times New Roman"/>
          <w:b/>
          <w:bCs/>
          <w:color w:val="212529"/>
          <w:sz w:val="32"/>
          <w:szCs w:val="32"/>
        </w:rPr>
      </w:pP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jc w:val="center"/>
        <w:rPr>
          <w:rFonts w:eastAsia="Times New Roman" w:cs="Times New Roman"/>
          <w:b/>
          <w:bCs/>
          <w:color w:val="212529"/>
          <w:sz w:val="32"/>
          <w:szCs w:val="32"/>
        </w:rPr>
      </w:pP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jc w:val="center"/>
      </w:pPr>
      <w:r>
        <w:rPr>
          <w:noProof/>
          <w:lang w:eastAsia="ru-RU" w:bidi="ar-SA"/>
        </w:rPr>
        <w:drawing>
          <wp:inline distT="0" distB="0" distL="0" distR="0" wp14:anchorId="4EBB68A0" wp14:editId="06A9A3C3">
            <wp:extent cx="5486400" cy="3200400"/>
            <wp:effectExtent l="0" t="0" r="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jc w:val="center"/>
        <w:rPr>
          <w:rFonts w:eastAsia="Times New Roman" w:cs="Times New Roman"/>
          <w:b/>
          <w:bCs/>
          <w:color w:val="212529"/>
          <w:sz w:val="32"/>
          <w:szCs w:val="32"/>
        </w:rPr>
      </w:pP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jc w:val="center"/>
        <w:rPr>
          <w:rFonts w:eastAsia="Times New Roman" w:cs="Times New Roman"/>
          <w:b/>
          <w:bCs/>
          <w:color w:val="212529"/>
          <w:sz w:val="32"/>
          <w:szCs w:val="32"/>
        </w:rPr>
      </w:pPr>
    </w:p>
    <w:p w:rsidR="00EA2244" w:rsidRDefault="00EA2244" w:rsidP="00EA2244">
      <w:pPr>
        <w:pStyle w:val="Standard"/>
        <w:autoSpaceDE w:val="0"/>
        <w:ind w:firstLine="709"/>
      </w:pPr>
      <w:r>
        <w:rPr>
          <w:rFonts w:eastAsia="Times New Roman" w:cs="Times New Roman"/>
          <w:sz w:val="28"/>
          <w:szCs w:val="28"/>
        </w:rPr>
        <w:t>По итогам</w:t>
      </w:r>
      <w:r>
        <w:rPr>
          <w:rFonts w:eastAsia="Times New Roman" w:cs="Times New Roman"/>
          <w:i/>
          <w:iCs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мониторинга за 2020-2024 учебный год можно сделать вывод, что систематическая и планомерная работа, с постепенным усложнением музыкального материала, помогает достичь положительной динамики в музыкальном развитии дошкольников. Воспитанники всех групп овладели необходимыми умениями и навыками в соответствии с возрастными особенностями. Современные педагогические технологии способствуют развитию у детей творческого самовыражения. По результатам полученных </w:t>
      </w:r>
      <w:r>
        <w:rPr>
          <w:rFonts w:eastAsia="Times New Roman" w:cs="Times New Roman"/>
          <w:sz w:val="28"/>
          <w:szCs w:val="28"/>
        </w:rPr>
        <w:lastRenderedPageBreak/>
        <w:t>данных промежуточной педагогической диагностики за межаттестационный период освоения воспитанниками основной образовательной программы по художественно-эстетическому развитию (музыка) видна положительная динамика.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В процессе работы решались следующие задачи по музыкальному воспитанию: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• Воспитывать любовь и интерес к музыке;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• Обогащать музыкальные впечатления детей;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• Знакомить с простейшими музыкальными понятиями;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• Развивать сенсорные способности, чувство ритма, слуха;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• Обучать элементарным певческим и двигательным навыкам;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• Обучать здоровьесберегающим технологиям.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 xml:space="preserve"> Обследование проводилось:</w:t>
      </w:r>
      <w:r>
        <w:rPr>
          <w:rFonts w:eastAsia="Times New Roman" w:cs="Times New Roman"/>
          <w:color w:val="212529"/>
          <w:sz w:val="28"/>
          <w:szCs w:val="28"/>
        </w:rPr>
        <w:br/>
        <w:t>- для выявления «зоны актуального развития» каждого ребенка в начале и в конце учебного года;</w:t>
      </w:r>
      <w:r>
        <w:rPr>
          <w:rFonts w:eastAsia="Times New Roman" w:cs="Times New Roman"/>
          <w:color w:val="212529"/>
          <w:sz w:val="28"/>
          <w:szCs w:val="28"/>
        </w:rPr>
        <w:br/>
        <w:t>- для уточнения стартовых и итоговых возможностей детей, перспектив и темпов развития;</w:t>
      </w:r>
      <w:r>
        <w:rPr>
          <w:rFonts w:eastAsia="Times New Roman" w:cs="Times New Roman"/>
          <w:color w:val="212529"/>
          <w:sz w:val="28"/>
          <w:szCs w:val="28"/>
        </w:rPr>
        <w:br/>
        <w:t>- прогнозирование результатов на начало и конец года;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br/>
        <w:t>Методы, используемые в мониторинге:</w:t>
      </w:r>
      <w:r>
        <w:rPr>
          <w:rFonts w:eastAsia="Times New Roman" w:cs="Times New Roman"/>
          <w:color w:val="212529"/>
          <w:sz w:val="28"/>
          <w:szCs w:val="28"/>
        </w:rPr>
        <w:br/>
        <w:t>диагностический метод, наблюдение, беседа, анализ деятельности детей.</w:t>
      </w:r>
    </w:p>
    <w:p w:rsidR="00EA2244" w:rsidRDefault="00EA2244" w:rsidP="00EA2244">
      <w:pPr>
        <w:pStyle w:val="Standard"/>
        <w:widowControl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Согласно годовому плану работы , мною проведен мониторинг уровня усвоения</w:t>
      </w:r>
    </w:p>
    <w:p w:rsidR="00EA2244" w:rsidRDefault="00EA2244" w:rsidP="00EA2244">
      <w:pPr>
        <w:pStyle w:val="Standard"/>
        <w:widowControl/>
        <w:shd w:val="clear" w:color="auto" w:fill="FFFFFF"/>
        <w:autoSpaceDE w:val="0"/>
        <w:spacing w:before="90" w:after="90"/>
      </w:pPr>
      <w:r>
        <w:rPr>
          <w:rFonts w:eastAsia="Times New Roman" w:cs="Times New Roman"/>
          <w:color w:val="1A1A1A"/>
          <w:sz w:val="28"/>
          <w:szCs w:val="28"/>
        </w:rPr>
        <w:t>программного материала по примерной общеобразовательной программе дошкольного образования «От рождения до школы» под редакцией Н.Е. Вераксы, Т. С. Комаровой, М.А. Васильевой.</w:t>
      </w:r>
      <w:r>
        <w:rPr>
          <w:rFonts w:eastAsia="Times New Roman" w:cs="Times New Roman"/>
          <w:color w:val="212529"/>
          <w:sz w:val="28"/>
          <w:szCs w:val="28"/>
        </w:rPr>
        <w:t xml:space="preserve">  В своей работе использую парциальные программы О.П. Радыновой «Музыкальные шедевры» и Т.Э.Тютюнниковой «Элементарное музицирование с дошкольниками». Уделяю большое внимание информационным технологиям, которые применяю в организации музыкальной деятельности в ДОУ на музыкальных занятиях, праздниках и досуговой деятельности.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  <w:u w:val="single"/>
        </w:rPr>
      </w:pPr>
      <w:r>
        <w:rPr>
          <w:rFonts w:eastAsia="Times New Roman" w:cs="Times New Roman"/>
          <w:color w:val="212529"/>
          <w:sz w:val="28"/>
          <w:szCs w:val="28"/>
          <w:u w:val="single"/>
        </w:rPr>
        <w:t>В процессе НОД дети занимались по следующим разделам: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1) Слушание музыкальных произведений.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2) Пение и песенное творчество.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3) Музыкально ритмические движения.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4) Игра на детских музыкальных инструментах.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5) Танцы, игры и хороводы.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  <w:r>
        <w:rPr>
          <w:rFonts w:eastAsia="Times New Roman" w:cs="Times New Roman"/>
          <w:color w:val="212529"/>
          <w:sz w:val="28"/>
          <w:szCs w:val="28"/>
        </w:rPr>
        <w:t>6) Детское музыкальное творчество.</w:t>
      </w:r>
    </w:p>
    <w:p w:rsidR="00EA2244" w:rsidRDefault="00EA2244" w:rsidP="00EA2244">
      <w:pPr>
        <w:pStyle w:val="Standard"/>
        <w:autoSpaceDE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разделе «Слушание» прослеживаются положительные результаты:</w:t>
      </w:r>
    </w:p>
    <w:p w:rsidR="00EA2244" w:rsidRDefault="00EA2244" w:rsidP="00EA2244">
      <w:pPr>
        <w:pStyle w:val="Standard"/>
        <w:widowControl/>
        <w:numPr>
          <w:ilvl w:val="0"/>
          <w:numId w:val="1"/>
        </w:numPr>
        <w:ind w:left="0" w:firstLine="0"/>
      </w:pPr>
      <w:r>
        <w:rPr>
          <w:color w:val="1A1A1A"/>
          <w:sz w:val="28"/>
          <w:szCs w:val="28"/>
        </w:rPr>
        <w:t>Дети внимательно слушают музыку, слышат изобразительные моменты.</w:t>
      </w:r>
    </w:p>
    <w:p w:rsidR="00EA2244" w:rsidRDefault="00EA2244" w:rsidP="00EA2244">
      <w:pPr>
        <w:pStyle w:val="Standard"/>
        <w:widowControl/>
        <w:numPr>
          <w:ilvl w:val="0"/>
          <w:numId w:val="1"/>
        </w:numPr>
        <w:ind w:left="0" w:firstLine="0"/>
      </w:pPr>
      <w:r>
        <w:rPr>
          <w:color w:val="1A1A1A"/>
          <w:sz w:val="28"/>
          <w:szCs w:val="28"/>
        </w:rPr>
        <w:lastRenderedPageBreak/>
        <w:t xml:space="preserve">У детей повысилась </w:t>
      </w:r>
      <w:r>
        <w:rPr>
          <w:rFonts w:eastAsia="Times New Roman" w:cs="Times New Roman"/>
          <w:color w:val="1A1A1A"/>
          <w:sz w:val="28"/>
          <w:szCs w:val="28"/>
        </w:rPr>
        <w:t>эмоциональная отзывчивость на музыку, и появился более устойчивый интерес к ней. Дети определяют контрастные настроения в музыке, динамические и тембровые оттенки, различают жанры в музыке. Дети старших групп слышат в произведении развитие музыкального образа, умеют рассказывать о них.</w:t>
      </w:r>
    </w:p>
    <w:p w:rsidR="00EA2244" w:rsidRDefault="00EA2244" w:rsidP="00EA2244">
      <w:pPr>
        <w:pStyle w:val="Standard"/>
        <w:widowControl/>
        <w:numPr>
          <w:ilvl w:val="0"/>
          <w:numId w:val="1"/>
        </w:numPr>
        <w:ind w:left="0" w:firstLine="0"/>
      </w:pPr>
      <w:r>
        <w:rPr>
          <w:rFonts w:eastAsia="Times New Roman" w:cs="Times New Roman"/>
          <w:sz w:val="28"/>
          <w:szCs w:val="28"/>
        </w:rPr>
        <w:t>У детей сформировалась звуковая культура речи, обогатился «словарь эмоций», в результате дети научились интересно высказываться о музыке, обобщать, сравнивать, давать оценку музыкальным произведениям, знают и называют композиторов.</w:t>
      </w:r>
    </w:p>
    <w:p w:rsidR="00EA2244" w:rsidRDefault="00EA2244" w:rsidP="00EA2244">
      <w:pPr>
        <w:pStyle w:val="Standard"/>
        <w:widowControl/>
        <w:rPr>
          <w:sz w:val="28"/>
          <w:szCs w:val="28"/>
        </w:rPr>
      </w:pPr>
    </w:p>
    <w:p w:rsidR="00EA2244" w:rsidRDefault="00EA2244" w:rsidP="00EA2244">
      <w:pPr>
        <w:pStyle w:val="Standard"/>
        <w:autoSpaceDE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Хорошие результаты наблюдаются в разделе «Пение».</w:t>
      </w:r>
    </w:p>
    <w:p w:rsidR="00EA2244" w:rsidRDefault="00EA2244" w:rsidP="00EA2244">
      <w:pPr>
        <w:pStyle w:val="Standard"/>
        <w:autoSpaceDE w:val="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   У детей сформировались певческие навыки: петь звонко, выразительно, без напряжения, правильно передавать характер исполняемых песен, не забывая, при этом, правильно брать дыхание.</w:t>
      </w:r>
    </w:p>
    <w:p w:rsidR="00EA2244" w:rsidRDefault="00EA2244" w:rsidP="00EA2244">
      <w:pPr>
        <w:pStyle w:val="Standard"/>
        <w:widowControl/>
        <w:numPr>
          <w:ilvl w:val="0"/>
          <w:numId w:val="2"/>
        </w:numPr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Могут петь в хоре и сольно, с аккомпанементом и без него.Это было достигнуто благодаря постепенной и систематической работе над певческими навыками.</w:t>
      </w:r>
    </w:p>
    <w:p w:rsidR="00EA2244" w:rsidRDefault="00EA2244" w:rsidP="00EA2244">
      <w:pPr>
        <w:pStyle w:val="Standard"/>
        <w:widowControl/>
        <w:numPr>
          <w:ilvl w:val="0"/>
          <w:numId w:val="2"/>
        </w:numPr>
      </w:pPr>
      <w:r>
        <w:rPr>
          <w:color w:val="1A1A1A"/>
          <w:sz w:val="28"/>
          <w:szCs w:val="28"/>
        </w:rPr>
        <w:t>Для этой цели использовалось множество вокально-певческих упражнений, предусматривающих различные задания. Для распевания и разогрева голосовых связок. Д</w:t>
      </w:r>
      <w:r>
        <w:rPr>
          <w:rFonts w:eastAsia="Times New Roman" w:cs="Times New Roman"/>
          <w:sz w:val="28"/>
          <w:szCs w:val="28"/>
        </w:rPr>
        <w:t>ети с удовольствием выполняют различные несложные упражнения на дыхание, звукоподражание, артикуляционную гимнастику.</w:t>
      </w:r>
    </w:p>
    <w:p w:rsidR="00EA2244" w:rsidRDefault="00EA2244" w:rsidP="00EA2244">
      <w:pPr>
        <w:pStyle w:val="Standard"/>
        <w:autoSpaceDE w:val="0"/>
        <w:ind w:firstLine="709"/>
        <w:rPr>
          <w:rFonts w:eastAsia="Times New Roman" w:cs="Times New Roman"/>
          <w:sz w:val="28"/>
          <w:szCs w:val="28"/>
        </w:rPr>
      </w:pPr>
    </w:p>
    <w:p w:rsidR="00EA2244" w:rsidRDefault="00EA2244" w:rsidP="00EA2244">
      <w:pPr>
        <w:pStyle w:val="Standard"/>
        <w:autoSpaceDE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разделе «Музыкально-ритмические движения» также прослеживается положительная динамика.</w:t>
      </w:r>
    </w:p>
    <w:p w:rsidR="00EA2244" w:rsidRDefault="00EA2244" w:rsidP="00EA2244">
      <w:pPr>
        <w:pStyle w:val="Standard"/>
        <w:autoSpaceDE w:val="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В младшей группе дети легко повторяют за воспитателем простейшие плясовые движения, могут двигаться в хороводе, врассыпную, выполнять движения с разными предметами: погремушками, ленточками, платочками, листиками, колечками; к концу года дети могут довольно хорошо двигаться парами.</w:t>
      </w:r>
    </w:p>
    <w:p w:rsidR="00EA2244" w:rsidRDefault="00EA2244" w:rsidP="00EA2244">
      <w:pPr>
        <w:pStyle w:val="Standard"/>
        <w:autoSpaceDE w:val="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средней группе все эти навыки закрепляются и совершенствуются.</w:t>
      </w:r>
    </w:p>
    <w:p w:rsidR="00EA2244" w:rsidRDefault="00EA2244" w:rsidP="00EA2244">
      <w:pPr>
        <w:pStyle w:val="Standard"/>
        <w:autoSpaceDE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У детей сформировался музыкально-ритмический слух и умение выполнять основные движения: различные виды ходьбы, бега, подскоки, боковой и прямой галоп.</w:t>
      </w:r>
    </w:p>
    <w:p w:rsidR="00EA2244" w:rsidRDefault="00EA2244" w:rsidP="00EA2244">
      <w:pPr>
        <w:pStyle w:val="Standard"/>
        <w:autoSpaceDE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Дети слышат двух и трёхчастную форму в музыке и могут самостоятельно менять движение в соответствии с различным характером и динамикой музыки.</w:t>
      </w:r>
    </w:p>
    <w:p w:rsidR="00EA2244" w:rsidRDefault="00EA2244" w:rsidP="00EA2244">
      <w:pPr>
        <w:pStyle w:val="Standard"/>
        <w:autoSpaceDE w:val="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В старших группах у детей формируется пространственная ориентировка: дети могут самостоятельно двигаться в хороводе, располагаться свободно по залу, перестраиваться в маленькие кружочки. Движения стали выразительными, появилась пластичность и координация.</w:t>
      </w:r>
    </w:p>
    <w:p w:rsidR="00EA2244" w:rsidRDefault="00EA2244" w:rsidP="00EA2244">
      <w:pPr>
        <w:pStyle w:val="Standard"/>
        <w:autoSpaceDE w:val="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К концу подготовительной группы все навыки закрепляются и совершенствуются: дети могут исполнять танцы различного характера (народные, классические, бальные, современные), выполнять различного вида перестроения.</w:t>
      </w:r>
    </w:p>
    <w:p w:rsidR="00EA2244" w:rsidRDefault="00EA2244" w:rsidP="00EA2244">
      <w:pPr>
        <w:pStyle w:val="Standard"/>
        <w:autoSpaceDE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Также наблюдаются качественные положительные результаты в разделе </w:t>
      </w:r>
      <w:r>
        <w:rPr>
          <w:rFonts w:eastAsia="Times New Roman" w:cs="Times New Roman"/>
          <w:sz w:val="28"/>
          <w:szCs w:val="28"/>
        </w:rPr>
        <w:lastRenderedPageBreak/>
        <w:t>«Элементарное музицирование».</w:t>
      </w:r>
    </w:p>
    <w:p w:rsidR="00EA2244" w:rsidRDefault="00EA2244" w:rsidP="00EA2244">
      <w:pPr>
        <w:pStyle w:val="Standard"/>
        <w:autoSpaceDE w:val="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Дети хорошо знают различные музыкальные инструменты, умеют играть на них, передавая несложный ритмический рисунок.</w:t>
      </w:r>
    </w:p>
    <w:p w:rsidR="00EA2244" w:rsidRDefault="00EA2244" w:rsidP="00EA2244">
      <w:pPr>
        <w:pStyle w:val="Standard"/>
        <w:autoSpaceDE w:val="0"/>
        <w:ind w:firstLine="709"/>
      </w:pPr>
      <w:r>
        <w:rPr>
          <w:rFonts w:eastAsia="Times New Roman" w:cs="Times New Roman"/>
          <w:sz w:val="28"/>
          <w:szCs w:val="28"/>
        </w:rPr>
        <w:t xml:space="preserve">  На детских праздниках дети с удовольствием играют в оркестре. Появились любимые произведения: «Вальс-шутка» Д.Шостаковича, «Вальс петушков» И.Стрибогга, «Часики» Г.Васильев.</w:t>
      </w:r>
      <w:r>
        <w:rPr>
          <w:rFonts w:eastAsia="Times New Roman" w:cs="Times New Roman"/>
          <w:color w:val="1A1A1A"/>
          <w:sz w:val="28"/>
          <w:szCs w:val="28"/>
        </w:rPr>
        <w:t xml:space="preserve"> Дети любят этот вид музыкальной деятельности и с удовольствием играют на разных инструментах в свободное от занятий время.</w:t>
      </w:r>
    </w:p>
    <w:p w:rsidR="00EA2244" w:rsidRDefault="00EA2244" w:rsidP="00EA2244">
      <w:pPr>
        <w:pStyle w:val="Standard"/>
        <w:autoSpaceDE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разделе «Детское музыкальное творчество» прослеживается положительная динамика.</w:t>
      </w:r>
    </w:p>
    <w:p w:rsidR="00EA2244" w:rsidRDefault="00EA2244" w:rsidP="00EA2244">
      <w:pPr>
        <w:pStyle w:val="Standard"/>
        <w:autoSpaceDE w:val="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 концу подготовительной группы дети могут проявить свои творческие способности, участвуя в играх, театральных сценках, музыкальных сказках, инсценируя песни, могут точно подобрать пластику, жесты в соответствии с характером музыкального персонажа.</w:t>
      </w:r>
    </w:p>
    <w:p w:rsidR="00EA2244" w:rsidRDefault="00EA2244" w:rsidP="00EA2244">
      <w:pPr>
        <w:pStyle w:val="Standard"/>
        <w:autoSpaceDE w:val="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Таким образом, большинство воспитанников, к старшему дошкольному возрасту имеют стабильный положительный показатель уровня развития. Что свидетельствует об эффективности образовательной работы по музыкальному воспитанию (методов, форм, средств и др.) с каждым конкретным дошкольником.</w:t>
      </w: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</w:pPr>
      <w:r>
        <w:rPr>
          <w:rFonts w:eastAsia="Times New Roman" w:cs="Times New Roman"/>
          <w:sz w:val="28"/>
          <w:szCs w:val="28"/>
        </w:rPr>
        <w:t xml:space="preserve">Анализируя результаты </w:t>
      </w:r>
      <w:r>
        <w:rPr>
          <w:rFonts w:eastAsia="Times New Roman" w:cs="Times New Roman"/>
          <w:color w:val="1A1A1A"/>
          <w:sz w:val="28"/>
          <w:szCs w:val="28"/>
        </w:rPr>
        <w:t>мониторинга можно  сделать следующие выводы:</w:t>
      </w:r>
    </w:p>
    <w:p w:rsidR="00EA2244" w:rsidRDefault="00EA2244" w:rsidP="00EA2244">
      <w:pPr>
        <w:pStyle w:val="Standard"/>
        <w:widowControl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Воспитанники всех групп овладели необходимыми умениями и навыками в соответствии с возрастными особенностями. Это было достигнуто за счет правильно построенной, индивидуальной систематической работы с детьми по всем направлениям, создания условий и положительного психологического микроклимата во всех видах музыкальной деятельности. А так же тесного взаимодействия с воспитателями групп.</w:t>
      </w:r>
    </w:p>
    <w:p w:rsidR="00EA2244" w:rsidRDefault="00EA2244" w:rsidP="00EA2244">
      <w:pPr>
        <w:pStyle w:val="Standard"/>
        <w:widowControl/>
        <w:rPr>
          <w:color w:val="1A1A1A"/>
          <w:sz w:val="28"/>
          <w:szCs w:val="28"/>
        </w:rPr>
      </w:pPr>
    </w:p>
    <w:p w:rsidR="00EA2244" w:rsidRDefault="00EA2244" w:rsidP="00EA2244">
      <w:pPr>
        <w:pStyle w:val="Standard"/>
        <w:widowControl/>
        <w:rPr>
          <w:color w:val="1A1A1A"/>
          <w:sz w:val="28"/>
          <w:szCs w:val="28"/>
        </w:rPr>
      </w:pPr>
    </w:p>
    <w:p w:rsidR="00EA2244" w:rsidRDefault="00EA2244" w:rsidP="00EA2244">
      <w:pPr>
        <w:pStyle w:val="Standard"/>
        <w:widowControl/>
        <w:rPr>
          <w:color w:val="1A1A1A"/>
          <w:sz w:val="28"/>
          <w:szCs w:val="28"/>
        </w:rPr>
      </w:pPr>
    </w:p>
    <w:p w:rsidR="00EA2244" w:rsidRDefault="00EA2244" w:rsidP="00EA2244">
      <w:pPr>
        <w:pStyle w:val="Standard"/>
        <w:widowControl/>
        <w:rPr>
          <w:color w:val="1A1A1A"/>
          <w:sz w:val="28"/>
          <w:szCs w:val="28"/>
        </w:rPr>
      </w:pPr>
    </w:p>
    <w:p w:rsidR="00EA2244" w:rsidRDefault="00EA2244" w:rsidP="00EA2244">
      <w:pPr>
        <w:pStyle w:val="Standard"/>
        <w:shd w:val="clear" w:color="auto" w:fill="FFFFFF"/>
        <w:autoSpaceDE w:val="0"/>
        <w:spacing w:before="90" w:after="90"/>
        <w:rPr>
          <w:rFonts w:eastAsia="Times New Roman" w:cs="Times New Roman"/>
          <w:color w:val="212529"/>
          <w:sz w:val="28"/>
          <w:szCs w:val="28"/>
        </w:rPr>
      </w:pPr>
    </w:p>
    <w:p w:rsidR="00EA2244" w:rsidRDefault="00EA2244" w:rsidP="00EA2244">
      <w:pPr>
        <w:pStyle w:val="Standard"/>
      </w:pPr>
    </w:p>
    <w:p w:rsidR="003C231E" w:rsidRDefault="003C231E">
      <w:bookmarkStart w:id="0" w:name="_GoBack"/>
      <w:bookmarkEnd w:id="0"/>
    </w:p>
    <w:sectPr w:rsidR="003C231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C4B02"/>
    <w:multiLevelType w:val="multilevel"/>
    <w:tmpl w:val="8F204A0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4D6613C4"/>
    <w:multiLevelType w:val="multilevel"/>
    <w:tmpl w:val="0A8037C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08"/>
    <w:rsid w:val="003C231E"/>
    <w:rsid w:val="00EA2244"/>
    <w:rsid w:val="00FB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A5838-AB9D-4574-AE95-D9A3F9F2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A22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A22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3"/>
      <c:rotY val="18"/>
      <c:rAngAx val="0"/>
      <c:perspective val="46"/>
    </c:view3D>
    <c:floor>
      <c:thickness val="0"/>
      <c:spPr>
        <a:noFill/>
        <a:ln w="9528">
          <a:solidFill>
            <a:srgbClr val="868686"/>
          </a:solidFill>
          <a:prstDash val="solid"/>
          <a:round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2020-2021</c:v>
          </c:tx>
          <c:spPr>
            <a:solidFill>
              <a:srgbClr val="4F81BD"/>
            </a:solidFill>
            <a:ln>
              <a:noFill/>
            </a:ln>
          </c:spPr>
          <c:invertIfNegative val="0"/>
          <c:cat>
            <c:strLit>
              <c:ptCount val="4"/>
              <c:pt idx="0">
                <c:v>младшая </c:v>
              </c:pt>
              <c:pt idx="1">
                <c:v>средняя</c:v>
              </c:pt>
              <c:pt idx="2">
                <c:v>старшая</c:v>
              </c:pt>
              <c:pt idx="3">
                <c:v>подготовительная</c:v>
              </c:pt>
            </c:strLit>
          </c:cat>
          <c:val>
            <c:numLit>
              <c:formatCode>General</c:formatCode>
              <c:ptCount val="4"/>
              <c:pt idx="0">
                <c:v>60</c:v>
              </c:pt>
              <c:pt idx="1">
                <c:v>80</c:v>
              </c:pt>
              <c:pt idx="2">
                <c:v>81</c:v>
              </c:pt>
              <c:pt idx="3">
                <c:v>98</c:v>
              </c:pt>
            </c:numLit>
          </c:val>
          <c:extLst>
            <c:ext xmlns:c16="http://schemas.microsoft.com/office/drawing/2014/chart" uri="{C3380CC4-5D6E-409C-BE32-E72D297353CC}">
              <c16:uniqueId val="{00000000-ACCA-4292-B7E8-56E54AC59A4A}"/>
            </c:ext>
          </c:extLst>
        </c:ser>
        <c:ser>
          <c:idx val="1"/>
          <c:order val="1"/>
          <c:tx>
            <c:v>2021-2022</c:v>
          </c:tx>
          <c:spPr>
            <a:solidFill>
              <a:srgbClr val="C0504D"/>
            </a:solidFill>
            <a:ln>
              <a:noFill/>
            </a:ln>
          </c:spPr>
          <c:invertIfNegative val="0"/>
          <c:cat>
            <c:strLit>
              <c:ptCount val="4"/>
              <c:pt idx="0">
                <c:v>младшая </c:v>
              </c:pt>
              <c:pt idx="1">
                <c:v>средняя</c:v>
              </c:pt>
              <c:pt idx="2">
                <c:v>старшая</c:v>
              </c:pt>
              <c:pt idx="3">
                <c:v>подготовительная</c:v>
              </c:pt>
            </c:strLit>
          </c:cat>
          <c:val>
            <c:numLit>
              <c:formatCode>General</c:formatCode>
              <c:ptCount val="4"/>
              <c:pt idx="0">
                <c:v>65</c:v>
              </c:pt>
              <c:pt idx="1">
                <c:v>84</c:v>
              </c:pt>
              <c:pt idx="2">
                <c:v>84</c:v>
              </c:pt>
              <c:pt idx="3">
                <c:v>89</c:v>
              </c:pt>
            </c:numLit>
          </c:val>
          <c:extLst>
            <c:ext xmlns:c16="http://schemas.microsoft.com/office/drawing/2014/chart" uri="{C3380CC4-5D6E-409C-BE32-E72D297353CC}">
              <c16:uniqueId val="{00000001-ACCA-4292-B7E8-56E54AC59A4A}"/>
            </c:ext>
          </c:extLst>
        </c:ser>
        <c:ser>
          <c:idx val="2"/>
          <c:order val="2"/>
          <c:tx>
            <c:v>2022-2023</c:v>
          </c:tx>
          <c:spPr>
            <a:solidFill>
              <a:srgbClr val="9BBB59"/>
            </a:solidFill>
            <a:ln>
              <a:noFill/>
            </a:ln>
          </c:spPr>
          <c:invertIfNegative val="0"/>
          <c:cat>
            <c:strLit>
              <c:ptCount val="4"/>
              <c:pt idx="0">
                <c:v>младшая </c:v>
              </c:pt>
              <c:pt idx="1">
                <c:v>средняя</c:v>
              </c:pt>
              <c:pt idx="2">
                <c:v>старшая</c:v>
              </c:pt>
              <c:pt idx="3">
                <c:v>подготовительная</c:v>
              </c:pt>
            </c:strLit>
          </c:cat>
          <c:val>
            <c:numLit>
              <c:formatCode>General</c:formatCode>
              <c:ptCount val="4"/>
              <c:pt idx="0">
                <c:v>70</c:v>
              </c:pt>
              <c:pt idx="1">
                <c:v>85</c:v>
              </c:pt>
              <c:pt idx="2">
                <c:v>86</c:v>
              </c:pt>
              <c:pt idx="3">
                <c:v>96</c:v>
              </c:pt>
            </c:numLit>
          </c:val>
          <c:extLst>
            <c:ext xmlns:c16="http://schemas.microsoft.com/office/drawing/2014/chart" uri="{C3380CC4-5D6E-409C-BE32-E72D297353CC}">
              <c16:uniqueId val="{00000002-ACCA-4292-B7E8-56E54AC59A4A}"/>
            </c:ext>
          </c:extLst>
        </c:ser>
        <c:ser>
          <c:idx val="3"/>
          <c:order val="3"/>
          <c:tx>
            <c:v>2023-2024</c:v>
          </c:tx>
          <c:spPr>
            <a:solidFill>
              <a:srgbClr val="8064A2"/>
            </a:solidFill>
            <a:ln>
              <a:noFill/>
            </a:ln>
          </c:spPr>
          <c:invertIfNegative val="0"/>
          <c:cat>
            <c:strLit>
              <c:ptCount val="4"/>
              <c:pt idx="0">
                <c:v>младшая </c:v>
              </c:pt>
              <c:pt idx="1">
                <c:v>средняя</c:v>
              </c:pt>
              <c:pt idx="2">
                <c:v>старшая</c:v>
              </c:pt>
              <c:pt idx="3">
                <c:v>подготовительная</c:v>
              </c:pt>
            </c:strLit>
          </c:cat>
          <c:val>
            <c:numLit>
              <c:formatCode>General</c:formatCode>
              <c:ptCount val="4"/>
              <c:pt idx="0">
                <c:v>75</c:v>
              </c:pt>
              <c:pt idx="1">
                <c:v>71</c:v>
              </c:pt>
              <c:pt idx="2">
                <c:v>98</c:v>
              </c:pt>
              <c:pt idx="3">
                <c:v>89</c:v>
              </c:pt>
            </c:numLit>
          </c:val>
          <c:extLst>
            <c:ext xmlns:c16="http://schemas.microsoft.com/office/drawing/2014/chart" uri="{C3380CC4-5D6E-409C-BE32-E72D297353CC}">
              <c16:uniqueId val="{00000003-ACCA-4292-B7E8-56E54AC59A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5592760"/>
        <c:axId val="265592432"/>
        <c:axId val="0"/>
      </c:bar3DChart>
      <c:valAx>
        <c:axId val="265592432"/>
        <c:scaling>
          <c:orientation val="minMax"/>
        </c:scaling>
        <c:delete val="0"/>
        <c:axPos val="l"/>
        <c:majorGridlines>
          <c:spPr>
            <a:ln w="9528">
              <a:solidFill>
                <a:srgbClr val="868686"/>
              </a:solidFill>
              <a:prstDash val="solid"/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noFill/>
          <a:ln w="9528">
            <a:solidFill>
              <a:srgbClr val="868686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000" b="0" i="0" u="none" strike="noStrike" kern="1200" baseline="0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265592760"/>
        <c:crosses val="autoZero"/>
        <c:crossBetween val="between"/>
      </c:valAx>
      <c:catAx>
        <c:axId val="265592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8">
            <a:solidFill>
              <a:srgbClr val="868686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000" b="0" i="0" u="none" strike="noStrike" kern="1200" baseline="0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265592432"/>
        <c:crossesAt val="0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r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1000" b="0" i="0" u="none" strike="noStrike" kern="1200" baseline="0">
              <a:solidFill>
                <a:srgbClr val="000000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8">
      <a:solidFill>
        <a:srgbClr val="868686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10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2024-09-20T12:54:00Z</dcterms:created>
  <dcterms:modified xsi:type="dcterms:W3CDTF">2024-09-20T12:54:00Z</dcterms:modified>
</cp:coreProperties>
</file>